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обеспечение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«Информационное обеспечение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обеспечение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«Информационное обеспечение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513.17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Моделирование и формализация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Программное обеспечение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Языки и методы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ресурсы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Мультимедийные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Статический HTML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Составляющие национальных интересов РФ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Разграничение доступа и управление сетевыми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481.5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Информатика,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Моделирование и формализация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Программное обеспечение компьютеров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Языки и методы программирования</w:t>
            </w:r>
          </w:p>
        </w:tc>
      </w:tr>
      <w:tr>
        <w:trPr>
          <w:trHeight w:hRule="exact" w:val="404.9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языков программирования. Языки искусственного интеллекта.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Компьютерные сети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сети: классификация и принципы организации. Локальные сети. Виды</w:t>
            </w:r>
          </w:p>
          <w:p>
            <w:pPr>
              <w:jc w:val="both"/>
              <w:spacing w:after="0" w:line="240" w:lineRule="auto"/>
              <w:rPr>
                <w:sz w:val="24"/>
                <w:szCs w:val="24"/>
              </w:rPr>
            </w:pPr>
            <w:r>
              <w:rPr>
                <w:rFonts w:ascii="Times New Roman" w:hAnsi="Times New Roman" w:cs="Times New Roman"/>
                <w:color w:val="#000000"/>
                <w:sz w:val="24"/>
                <w:szCs w:val="24"/>
              </w:rPr>
              <w:t> 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 сервер». Терминал. Хост. Шлюз. Коммутация пакетов. Протоколы сети. Модель построения информационных сетей OSI. Трафик сети.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ресурсы Интернет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в Интернете. IP-адреса. Система доменных имен (DNS). Почтовые адреса. Система универсальных идентификаторов/ресурсов (URI/URL). Технология WWW. Схема HTPP. Система архивов FTP. Браузеры Интернета. Составление запросов в браузерах. Навигация в Интернете. Информационные поисковые системы. Основы работы с электронной почтой. Телеконференции, форумы, чаты. Сетевой этикет.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Мультимедийные технологии управления рисками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 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 графика. Особенности представления информации графическими способами. Использование звукового сопровождения в мультимедийных электронных ресурсах. Основные характеристики цифровой видеоинформации. Виды презентационной графики. Использование презентаций для передачи информации. Издательские системы, как вид презентационной графики: открытки, календари, буклеты, информационные бюллетени, веб-сайты. 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 информации: рисунки, диаграммы, таблицы. Использование анимации. Настройка презентации. Интерактивная презентация.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Основы информационной безопасности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Внутренние и внешние качества информации – содержательность, и защищенность.</w:t>
            </w:r>
          </w:p>
          <w:p>
            <w:pPr>
              <w:jc w:val="both"/>
              <w:spacing w:after="0" w:line="240" w:lineRule="auto"/>
              <w:rPr>
                <w:sz w:val="24"/>
                <w:szCs w:val="24"/>
              </w:rPr>
            </w:pPr>
            <w:r>
              <w:rPr>
                <w:rFonts w:ascii="Times New Roman" w:hAnsi="Times New Roman" w:cs="Times New Roman"/>
                <w:color w:val="#000000"/>
                <w:sz w:val="24"/>
                <w:szCs w:val="24"/>
              </w:rPr>
              <w:t> 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 и прагматическом уровне. Обеспечение сохранности и конфиденциальности информации: организационные, аппаратные и программные методы.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Защита от вирусов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 Эвристические анализаторы. Мониторы. Технические антивирусные средства. Межсетевые экраны (брандмауэр, firewall). Обеспечение достоверности и конфиденциальности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возможностей сервера по созданию и управлению учетными записями подразделений, пользователей и групп пользователей, регистрации компьютеров в домене, созданию общих папок и принтеров, управлению доступом пользователей к</w:t>
            </w:r>
          </w:p>
          <w:p>
            <w:pPr>
              <w:jc w:val="both"/>
              <w:spacing w:after="0" w:line="240" w:lineRule="auto"/>
              <w:rPr>
                <w:sz w:val="24"/>
                <w:szCs w:val="24"/>
              </w:rPr>
            </w:pPr>
            <w:r>
              <w:rPr>
                <w:rFonts w:ascii="Times New Roman" w:hAnsi="Times New Roman" w:cs="Times New Roman"/>
                <w:color w:val="#000000"/>
                <w:sz w:val="24"/>
                <w:szCs w:val="24"/>
              </w:rPr>
              <w:t> ресурсам контроллера домена и сетевым ресурсам.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Квалификация несанкционированного доступа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Алгоритмы предупреждения и обнаружения вирусных угроз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Пакеты антивирусных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функциями, достоинствами и недостатками современного антивирусного ПО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Работа в глобальной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интерфейс, назначения и особенностей поисковых WWW-серверов, разъяснение понятия «запрос», отличие запроса от вопроса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Статический HTML -документ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основы языка разметки гипертекста HTML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Составляющие национальных интересов РФ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РФ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Разграничение доступа и управление сетевыми ресурсами во FreeBSD. Настройка межсетевого экрана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принципов разграничения доступа в операционной системе FreeBSD, а также изучение принципов настройки межсетевого экрана в данной операционной системе.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обеспечение управления рисками»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7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2023-2024_ФГОС3++2023_Бак-ЗФО-Мен_(ЭиУП)(23)_plx_Информационное обеспечение управления рисками</dc:title>
  <dc:creator>FastReport.NET</dc:creator>
</cp:coreProperties>
</file>